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5406" w14:textId="39115B0A" w:rsidR="00CE64F1" w:rsidRPr="00CE64F1" w:rsidRDefault="00CE64F1" w:rsidP="00CE64F1">
      <w:pPr>
        <w:spacing w:line="240" w:lineRule="auto"/>
        <w:jc w:val="center"/>
        <w:rPr>
          <w:rFonts w:ascii="Cambria" w:hAnsi="Cambria"/>
          <w:sz w:val="26"/>
          <w:szCs w:val="26"/>
        </w:rPr>
      </w:pPr>
      <w:bookmarkStart w:id="0" w:name="_Hlk154909032"/>
      <w:r w:rsidRPr="00CE64F1">
        <w:rPr>
          <w:rFonts w:ascii="Cambria" w:hAnsi="Cambria" w:cs="Arial"/>
          <w:b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3E8434" wp14:editId="2D6FE783">
            <wp:simplePos x="0" y="0"/>
            <wp:positionH relativeFrom="margin">
              <wp:posOffset>2295525</wp:posOffset>
            </wp:positionH>
            <wp:positionV relativeFrom="margin">
              <wp:posOffset>-294200</wp:posOffset>
            </wp:positionV>
            <wp:extent cx="1346835" cy="630555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0" t="37111" r="22676" b="37299"/>
                    <a:stretch/>
                  </pic:blipFill>
                  <pic:spPr bwMode="auto">
                    <a:xfrm>
                      <a:off x="0" y="0"/>
                      <a:ext cx="134683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604FDD" w14:textId="77777777" w:rsidR="00CE64F1" w:rsidRDefault="00CE64F1" w:rsidP="00CE64F1">
      <w:pPr>
        <w:spacing w:after="0" w:line="240" w:lineRule="auto"/>
        <w:jc w:val="center"/>
        <w:rPr>
          <w:rFonts w:ascii="Cambria" w:hAnsi="Cambria" w:cs="Arial"/>
          <w:b/>
          <w:color w:val="2F5496" w:themeColor="accent1" w:themeShade="BF"/>
          <w:sz w:val="32"/>
          <w:szCs w:val="32"/>
        </w:rPr>
      </w:pPr>
    </w:p>
    <w:p w14:paraId="7BF21D47" w14:textId="69DE6F4A" w:rsidR="00CE64F1" w:rsidRPr="00CE64F1" w:rsidRDefault="00CE64F1" w:rsidP="00CE64F1">
      <w:pPr>
        <w:spacing w:line="240" w:lineRule="auto"/>
        <w:jc w:val="center"/>
        <w:rPr>
          <w:rFonts w:ascii="Cambria" w:hAnsi="Cambria" w:cs="Arial"/>
          <w:b/>
          <w:color w:val="2F5496" w:themeColor="accent1" w:themeShade="BF"/>
          <w:sz w:val="32"/>
          <w:szCs w:val="32"/>
        </w:rPr>
      </w:pPr>
      <w:r w:rsidRPr="00CE64F1">
        <w:rPr>
          <w:rFonts w:ascii="Cambria" w:hAnsi="Cambria" w:cs="Arial"/>
          <w:b/>
          <w:color w:val="2F5496" w:themeColor="accent1" w:themeShade="BF"/>
          <w:sz w:val="32"/>
          <w:szCs w:val="32"/>
        </w:rPr>
        <w:t>LICENSING TRAINING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64F1" w:rsidRPr="00CE64F1" w14:paraId="27CACC67" w14:textId="77777777" w:rsidTr="0090146D">
        <w:tc>
          <w:tcPr>
            <w:tcW w:w="9576" w:type="dxa"/>
          </w:tcPr>
          <w:p w14:paraId="125A285A" w14:textId="77777777" w:rsidR="00CE64F1" w:rsidRPr="00CE64F1" w:rsidRDefault="00CE64F1" w:rsidP="00CE64F1">
            <w:pPr>
              <w:spacing w:line="240" w:lineRule="auto"/>
              <w:rPr>
                <w:rFonts w:ascii="Cambria" w:hAnsi="Cambria" w:cs="Arial"/>
                <w:i/>
                <w:iCs/>
              </w:rPr>
            </w:pPr>
            <w:r w:rsidRPr="00CE64F1">
              <w:rPr>
                <w:rFonts w:ascii="Cambria" w:hAnsi="Cambria" w:cs="Arial"/>
                <w:i/>
                <w:iCs/>
              </w:rPr>
              <w:t xml:space="preserve">Note for respondents: </w:t>
            </w:r>
            <w:r w:rsidRPr="00CE64F1">
              <w:rPr>
                <w:rFonts w:ascii="Cambria" w:hAnsi="Cambria" w:cs="Arial"/>
              </w:rPr>
              <w:t>The information submitted through this form will be used to prepare a </w:t>
            </w:r>
            <w:r w:rsidRPr="00CE64F1">
              <w:rPr>
                <w:rFonts w:ascii="Cambria" w:hAnsi="Cambria" w:cs="Arial"/>
                <w:b/>
                <w:bCs/>
              </w:rPr>
              <w:t>Register of Training Supervisors</w:t>
            </w:r>
            <w:r w:rsidRPr="00CE64F1">
              <w:rPr>
                <w:rFonts w:ascii="Cambria" w:hAnsi="Cambria" w:cs="Arial"/>
              </w:rPr>
              <w:t>, pertinent details of which will be published online as a public document. </w:t>
            </w:r>
          </w:p>
        </w:tc>
      </w:tr>
    </w:tbl>
    <w:p w14:paraId="2A105EBD" w14:textId="77777777" w:rsidR="00CE64F1" w:rsidRPr="00CE64F1" w:rsidRDefault="00CE64F1" w:rsidP="00CE64F1">
      <w:pPr>
        <w:spacing w:before="200" w:after="120" w:line="240" w:lineRule="auto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26"/>
          <w:szCs w:val="26"/>
        </w:rPr>
        <w:t>1. Full Name of Supervisor:</w:t>
      </w:r>
    </w:p>
    <w:p w14:paraId="510F51E6" w14:textId="77777777" w:rsidR="00CE64F1" w:rsidRPr="00CE64F1" w:rsidRDefault="00CE64F1" w:rsidP="00CE64F1">
      <w:pPr>
        <w:spacing w:after="120" w:line="240" w:lineRule="auto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26"/>
          <w:szCs w:val="26"/>
        </w:rPr>
        <w:t>2. License No.:</w:t>
      </w:r>
    </w:p>
    <w:p w14:paraId="53C5CB35" w14:textId="77777777" w:rsidR="00CE64F1" w:rsidRPr="00CE64F1" w:rsidRDefault="00CE64F1" w:rsidP="00CE64F1">
      <w:pPr>
        <w:spacing w:after="120" w:line="240" w:lineRule="auto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26"/>
          <w:szCs w:val="26"/>
        </w:rPr>
        <w:t>3. Address of Legal Practice, Law Firm, or Institution:</w:t>
      </w:r>
    </w:p>
    <w:p w14:paraId="6611843F" w14:textId="77777777" w:rsidR="00CE64F1" w:rsidRPr="00CE64F1" w:rsidRDefault="00CE64F1" w:rsidP="00CE64F1">
      <w:pPr>
        <w:spacing w:after="120" w:line="240" w:lineRule="auto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26"/>
          <w:szCs w:val="26"/>
        </w:rPr>
        <w:t>4. Area(s) of Legal Practice:</w:t>
      </w:r>
    </w:p>
    <w:p w14:paraId="490B567A" w14:textId="77777777" w:rsidR="00CE64F1" w:rsidRPr="00CE64F1" w:rsidRDefault="00CE64F1" w:rsidP="00CE64F1">
      <w:pPr>
        <w:spacing w:after="0" w:line="240" w:lineRule="auto"/>
        <w:jc w:val="both"/>
        <w:rPr>
          <w:rFonts w:ascii="Cambria" w:hAnsi="Cambria" w:cs="Arial"/>
          <w:b/>
          <w:sz w:val="26"/>
          <w:szCs w:val="26"/>
        </w:rPr>
      </w:pPr>
      <w:r w:rsidRPr="00CE64F1">
        <w:rPr>
          <w:rFonts w:ascii="Cambria" w:hAnsi="Cambria" w:cs="Arial"/>
          <w:sz w:val="26"/>
          <w:szCs w:val="26"/>
        </w:rPr>
        <w:t>The traineeship will be structured in such a way to provide trainees with practical experience</w:t>
      </w:r>
      <w:r w:rsidRPr="00CE64F1">
        <w:rPr>
          <w:rFonts w:ascii="Cambria" w:hAnsi="Cambria" w:cs="Arial"/>
          <w:b/>
          <w:sz w:val="26"/>
          <w:szCs w:val="26"/>
        </w:rPr>
        <w:t xml:space="preserve"> in the following core skills:</w:t>
      </w:r>
    </w:p>
    <w:p w14:paraId="53016E3F" w14:textId="77777777" w:rsidR="00CE64F1" w:rsidRPr="00CE64F1" w:rsidRDefault="00CE64F1" w:rsidP="00CE64F1">
      <w:pPr>
        <w:spacing w:after="0" w:line="240" w:lineRule="auto"/>
        <w:jc w:val="both"/>
        <w:rPr>
          <w:rFonts w:ascii="Cambria" w:hAnsi="Cambria" w:cs="Arial"/>
          <w:b/>
          <w:sz w:val="26"/>
          <w:szCs w:val="26"/>
        </w:rPr>
      </w:pPr>
    </w:p>
    <w:p w14:paraId="78EF3E40" w14:textId="77777777" w:rsidR="00CE64F1" w:rsidRPr="00CE64F1" w:rsidRDefault="00CE64F1" w:rsidP="00CE64F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Arial"/>
          <w:b/>
          <w:sz w:val="26"/>
          <w:szCs w:val="26"/>
        </w:rPr>
      </w:pPr>
      <w:r w:rsidRPr="00CE64F1">
        <w:rPr>
          <w:rFonts w:ascii="Cambria" w:hAnsi="Cambria" w:cs="Arial"/>
          <w:b/>
          <w:sz w:val="26"/>
          <w:szCs w:val="26"/>
        </w:rPr>
        <w:t xml:space="preserve">Client Care and Management   </w:t>
      </w:r>
    </w:p>
    <w:p w14:paraId="0D341583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Participate in and conduct client interviews and taking client’s instructions (including sensitive interviews e.g. of children, victims of trauma and disabilities)</w:t>
      </w:r>
    </w:p>
    <w:p w14:paraId="222A0A99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Observe and document client meetings in which remedies, options, advice, and instructions are discussed</w:t>
      </w:r>
    </w:p>
    <w:p w14:paraId="41E5586A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Conduct due diligence, including ensuring that all relevant information has been obtained and reviewed</w:t>
      </w:r>
    </w:p>
    <w:p w14:paraId="167DA344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Participate in interviews with witnesses and experts</w:t>
      </w:r>
    </w:p>
    <w:p w14:paraId="6CED297D" w14:textId="7F057D51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 xml:space="preserve">Generate options and formulate strategy together with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>upervisor</w:t>
      </w:r>
    </w:p>
    <w:p w14:paraId="615D8CAE" w14:textId="5A331615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Prepare witness statements and affidavits based on information collected in interviews, draft general correspondence, and written opinions</w:t>
      </w:r>
    </w:p>
    <w:p w14:paraId="5CEADB2E" w14:textId="32FE92A5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 xml:space="preserve">Advise client under the direct supervision of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>upervisor</w:t>
      </w:r>
    </w:p>
    <w:p w14:paraId="38E76A19" w14:textId="77777777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</w:p>
    <w:p w14:paraId="20DE1AA0" w14:textId="77777777" w:rsidR="00CE64F1" w:rsidRPr="00CE64F1" w:rsidRDefault="00CE64F1" w:rsidP="00CE64F1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Arial"/>
          <w:b/>
        </w:rPr>
      </w:pPr>
      <w:r w:rsidRPr="00CE64F1">
        <w:rPr>
          <w:rFonts w:ascii="Cambria" w:hAnsi="Cambria" w:cs="Arial"/>
          <w:b/>
          <w:sz w:val="26"/>
          <w:szCs w:val="26"/>
        </w:rPr>
        <w:t>Conducting Legal Research, Drafting and Legal Writing</w:t>
      </w:r>
      <w:r w:rsidRPr="00CE64F1">
        <w:rPr>
          <w:rFonts w:ascii="Cambria" w:hAnsi="Cambria" w:cs="Arial"/>
          <w:b/>
        </w:rPr>
        <w:t xml:space="preserve"> </w:t>
      </w:r>
      <w:r w:rsidRPr="00CE64F1">
        <w:rPr>
          <w:rFonts w:ascii="Cambria" w:hAnsi="Cambria" w:cs="Arial"/>
          <w:b/>
          <w:sz w:val="40"/>
          <w:szCs w:val="40"/>
        </w:rPr>
        <w:t xml:space="preserve"> </w:t>
      </w:r>
    </w:p>
    <w:p w14:paraId="03B021ED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Review and summarize documentation (e.g.  Transcripts; documents in client’s file; contracts; corporate minute books)</w:t>
      </w:r>
    </w:p>
    <w:p w14:paraId="1712449C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Identify applicable areas of law and legal issues involved; conduct due diligence</w:t>
      </w:r>
    </w:p>
    <w:p w14:paraId="32DEE166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lastRenderedPageBreak/>
        <w:t>□</w:t>
      </w:r>
      <w:r w:rsidRPr="00CE64F1">
        <w:rPr>
          <w:rFonts w:ascii="Cambria" w:hAnsi="Cambria" w:cs="Arial"/>
          <w:sz w:val="26"/>
          <w:szCs w:val="26"/>
        </w:rPr>
        <w:t>Conduct research on substantive and procedural issues; conduct due diligence</w:t>
      </w:r>
    </w:p>
    <w:p w14:paraId="2B79DFE5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Draft court documents such as originating process, pleading, summons and court orders; contracts and agreements</w:t>
      </w:r>
    </w:p>
    <w:p w14:paraId="7D8F25DC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Use precedents</w:t>
      </w:r>
    </w:p>
    <w:p w14:paraId="77AC68AC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Interpret and apply results of research</w:t>
      </w:r>
    </w:p>
    <w:p w14:paraId="2C388326" w14:textId="74B85A0D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 xml:space="preserve">Provide analysis and report results of research to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>upervisor orally or in writing</w:t>
      </w:r>
    </w:p>
    <w:p w14:paraId="0F0C1B9B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Prepare drafts of litigation documents (e.g. notices of motion; notices of application; draft orders; offers to settle, notices of appeal, affidavits, factums, minutes of settlement)</w:t>
      </w:r>
    </w:p>
    <w:p w14:paraId="5E8BB1C5" w14:textId="0A4E05C8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Prepare drafts of solicitor-type documents (</w:t>
      </w:r>
      <w:proofErr w:type="gramStart"/>
      <w:r w:rsidRPr="00CE64F1">
        <w:rPr>
          <w:rFonts w:ascii="Cambria" w:hAnsi="Cambria" w:cs="Arial"/>
          <w:sz w:val="26"/>
          <w:szCs w:val="26"/>
        </w:rPr>
        <w:t>e.g.</w:t>
      </w:r>
      <w:proofErr w:type="gramEnd"/>
      <w:r w:rsidRPr="00CE64F1">
        <w:rPr>
          <w:rFonts w:ascii="Cambria" w:hAnsi="Cambria" w:cs="Arial"/>
          <w:sz w:val="26"/>
          <w:szCs w:val="26"/>
        </w:rPr>
        <w:t xml:space="preserve"> resolutions; powers of attorney, </w:t>
      </w:r>
      <w:r w:rsidR="009E1CE5">
        <w:rPr>
          <w:rFonts w:ascii="Cambria" w:hAnsi="Cambria" w:cs="Arial"/>
          <w:sz w:val="26"/>
          <w:szCs w:val="26"/>
        </w:rPr>
        <w:t>w</w:t>
      </w:r>
      <w:r w:rsidRPr="00CE64F1">
        <w:rPr>
          <w:rFonts w:ascii="Cambria" w:hAnsi="Cambria" w:cs="Arial"/>
          <w:sz w:val="26"/>
          <w:szCs w:val="26"/>
        </w:rPr>
        <w:t>ills, agreements, letters of opinion, reporting letters)</w:t>
      </w:r>
    </w:p>
    <w:p w14:paraId="302FAFB4" w14:textId="77777777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</w:p>
    <w:p w14:paraId="30745DC4" w14:textId="77777777" w:rsidR="00CE64F1" w:rsidRPr="00CE64F1" w:rsidRDefault="00CE64F1" w:rsidP="00CE64F1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Cambria" w:hAnsi="Cambria" w:cs="Arial"/>
          <w:b/>
        </w:rPr>
      </w:pPr>
      <w:r w:rsidRPr="00CE64F1">
        <w:rPr>
          <w:rFonts w:ascii="Cambria" w:hAnsi="Cambria" w:cs="Arial"/>
          <w:b/>
          <w:sz w:val="26"/>
          <w:szCs w:val="26"/>
        </w:rPr>
        <w:t>Case and Transaction Management, including Monitoring Files &amp; Negotiations</w:t>
      </w:r>
      <w:r w:rsidRPr="00CE64F1">
        <w:rPr>
          <w:rFonts w:ascii="Cambria" w:hAnsi="Cambria" w:cs="Arial"/>
          <w:b/>
        </w:rPr>
        <w:t xml:space="preserve"> </w:t>
      </w:r>
      <w:r w:rsidRPr="00CE64F1">
        <w:rPr>
          <w:rFonts w:ascii="Cambria" w:hAnsi="Cambria" w:cs="Arial"/>
          <w:b/>
          <w:sz w:val="40"/>
          <w:szCs w:val="40"/>
        </w:rPr>
        <w:t xml:space="preserve"> </w:t>
      </w:r>
    </w:p>
    <w:p w14:paraId="7B3DE5B7" w14:textId="77777777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Document a file (e.g. records of telephone calls; memos to file; client instructions)</w:t>
      </w:r>
    </w:p>
    <w:p w14:paraId="10A2A28E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Use a system to track limitation period dates</w:t>
      </w:r>
    </w:p>
    <w:p w14:paraId="4A42EBD7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Prepare for negotiations (e.g. transactional; litigation, alternative dispute resolution/ADR); conduct due diligence</w:t>
      </w:r>
    </w:p>
    <w:p w14:paraId="045E712C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Observe and participate in negotiations</w:t>
      </w:r>
    </w:p>
    <w:p w14:paraId="36286533" w14:textId="3D325A53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 xml:space="preserve">Review and discuss outcome of negotiations with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>upervisor</w:t>
      </w:r>
    </w:p>
    <w:p w14:paraId="46BF228E" w14:textId="102AF3DE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 xml:space="preserve">Conduct negotiations under the supervision of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>upervisor (</w:t>
      </w:r>
      <w:proofErr w:type="gramStart"/>
      <w:r w:rsidRPr="00CE64F1">
        <w:rPr>
          <w:rFonts w:ascii="Cambria" w:hAnsi="Cambria" w:cs="Arial"/>
          <w:sz w:val="26"/>
          <w:szCs w:val="26"/>
        </w:rPr>
        <w:t>e.g.</w:t>
      </w:r>
      <w:proofErr w:type="gramEnd"/>
      <w:r w:rsidRPr="00CE64F1">
        <w:rPr>
          <w:rFonts w:ascii="Cambria" w:hAnsi="Cambria" w:cs="Arial"/>
          <w:sz w:val="26"/>
          <w:szCs w:val="26"/>
        </w:rPr>
        <w:t xml:space="preserve"> simple tribunal matter; minor civil litigation)</w:t>
      </w:r>
    </w:p>
    <w:p w14:paraId="2D9D70F0" w14:textId="01A900D1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 xml:space="preserve">Advise on settlements under the supervision of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>upervisor</w:t>
      </w:r>
    </w:p>
    <w:p w14:paraId="0C026861" w14:textId="77777777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Observe other forms of ADR (e.g. mediation, arbitration, conciliation)</w:t>
      </w:r>
    </w:p>
    <w:p w14:paraId="536B05C3" w14:textId="77777777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</w:p>
    <w:p w14:paraId="4BC8F057" w14:textId="77777777" w:rsidR="00CE64F1" w:rsidRPr="00CE64F1" w:rsidRDefault="00CE64F1" w:rsidP="00CE64F1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Cambria" w:hAnsi="Cambria" w:cs="Arial"/>
          <w:b/>
        </w:rPr>
      </w:pPr>
      <w:r w:rsidRPr="00CE64F1">
        <w:rPr>
          <w:rFonts w:ascii="Cambria" w:hAnsi="Cambria" w:cs="Arial"/>
          <w:b/>
          <w:sz w:val="26"/>
          <w:szCs w:val="26"/>
        </w:rPr>
        <w:t>Advocacy</w:t>
      </w:r>
      <w:r w:rsidRPr="00CE64F1">
        <w:rPr>
          <w:rFonts w:ascii="Cambria" w:hAnsi="Cambria" w:cs="Arial"/>
          <w:b/>
        </w:rPr>
        <w:t xml:space="preserve"> </w:t>
      </w:r>
      <w:r w:rsidRPr="00CE64F1">
        <w:rPr>
          <w:rFonts w:ascii="Cambria" w:hAnsi="Cambria" w:cs="Arial"/>
          <w:b/>
          <w:sz w:val="40"/>
          <w:szCs w:val="40"/>
        </w:rPr>
        <w:t xml:space="preserve"> </w:t>
      </w:r>
    </w:p>
    <w:p w14:paraId="76B92606" w14:textId="77777777" w:rsidR="00CE64F1" w:rsidRPr="00CE64F1" w:rsidRDefault="00CE64F1" w:rsidP="00CE64F1">
      <w:pPr>
        <w:pStyle w:val="ListParagraph"/>
        <w:spacing w:after="0" w:line="240" w:lineRule="auto"/>
        <w:ind w:left="1452"/>
        <w:contextualSpacing w:val="0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In relation to civil litigation, observe and support advocacy in different settings (e.g. interlocutory motions or applications; tribunal hearings; trials; pre-trial conferences; discoveries; applications; assessment of costs; examinations)</w:t>
      </w:r>
    </w:p>
    <w:p w14:paraId="37F4AE04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lastRenderedPageBreak/>
        <w:t>□</w:t>
      </w:r>
      <w:r w:rsidRPr="00CE64F1">
        <w:rPr>
          <w:rFonts w:ascii="Cambria" w:hAnsi="Cambria" w:cs="Arial"/>
          <w:sz w:val="26"/>
          <w:szCs w:val="26"/>
        </w:rPr>
        <w:t>Assist in preparation for a trial or appeal of a civil matter; conduct due diligence</w:t>
      </w:r>
    </w:p>
    <w:p w14:paraId="40C4906B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Assist in preparation for an interlocutory application</w:t>
      </w:r>
    </w:p>
    <w:p w14:paraId="4FE51EDA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Request, provide or participate in document disclosure (</w:t>
      </w:r>
      <w:proofErr w:type="gramStart"/>
      <w:r w:rsidRPr="00CE64F1">
        <w:rPr>
          <w:rFonts w:ascii="Cambria" w:hAnsi="Cambria" w:cs="Arial"/>
          <w:sz w:val="26"/>
          <w:szCs w:val="26"/>
        </w:rPr>
        <w:t>e.g.</w:t>
      </w:r>
      <w:proofErr w:type="gramEnd"/>
      <w:r w:rsidRPr="00CE64F1">
        <w:rPr>
          <w:rFonts w:ascii="Cambria" w:hAnsi="Cambria" w:cs="Arial"/>
          <w:sz w:val="26"/>
          <w:szCs w:val="26"/>
        </w:rPr>
        <w:t xml:space="preserve"> affidavits of documents; Prosecutor disclosure and plea negotiations)</w:t>
      </w:r>
    </w:p>
    <w:p w14:paraId="23DD8410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Attend court or tribunal, where permitted, to speak to routine administrative matters (e.g. unopposed adjournments; uncontested and consent motions; and set dates)</w:t>
      </w:r>
    </w:p>
    <w:p w14:paraId="04201EC0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In relation to criminal litigation, assist in preparation of client or witnesses for trial and in preparations for an appeal of a criminal matter; conduct due diligence</w:t>
      </w:r>
    </w:p>
    <w:p w14:paraId="5F48636C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In relation to corporate practice, assist in a corporate transaction such as sale of a business</w:t>
      </w:r>
    </w:p>
    <w:p w14:paraId="771AFE7F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In relation to a conveyancing practice, assist in a conveyance transaction such as sale of house or other real estate property</w:t>
      </w:r>
    </w:p>
    <w:p w14:paraId="61A24D4A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</w:p>
    <w:p w14:paraId="2A7BF32A" w14:textId="77777777" w:rsidR="00CE64F1" w:rsidRPr="00CE64F1" w:rsidRDefault="00CE64F1" w:rsidP="00CE64F1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Arial"/>
          <w:b/>
        </w:rPr>
      </w:pPr>
      <w:r w:rsidRPr="00CE64F1">
        <w:rPr>
          <w:rFonts w:ascii="Cambria" w:hAnsi="Cambria" w:cs="Arial"/>
          <w:b/>
          <w:sz w:val="26"/>
          <w:szCs w:val="26"/>
        </w:rPr>
        <w:t>Ethics and Professional Responsibility</w:t>
      </w:r>
      <w:r w:rsidRPr="00CE64F1">
        <w:rPr>
          <w:rFonts w:ascii="Cambria" w:hAnsi="Cambria" w:cs="Arial"/>
          <w:b/>
        </w:rPr>
        <w:t xml:space="preserve"> </w:t>
      </w:r>
      <w:r w:rsidRPr="00CE64F1">
        <w:rPr>
          <w:rFonts w:ascii="Cambria" w:hAnsi="Cambria" w:cs="Arial"/>
          <w:b/>
          <w:sz w:val="40"/>
          <w:szCs w:val="40"/>
        </w:rPr>
        <w:t xml:space="preserve"> </w:t>
      </w:r>
    </w:p>
    <w:p w14:paraId="702C5F95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Identify and discuss ethical obligations and responsibilities of a lawyer</w:t>
      </w:r>
    </w:p>
    <w:p w14:paraId="715BC259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Observe best practice in relation to retainers, documenting the scope of services and ensuring client understands the services being provided and the fees being charged</w:t>
      </w:r>
    </w:p>
    <w:p w14:paraId="683BCDD6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Discuss lawyer’s duty towards client confidentiality and steps to be implemented to ensure such confidentiality</w:t>
      </w:r>
    </w:p>
    <w:p w14:paraId="59546E2C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Discuss potential client conflict of interest issues and the use of a filing system that help detect and prevent conflict of interest</w:t>
      </w:r>
    </w:p>
    <w:p w14:paraId="17136940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Discuss steps to take when asked by a client to engage in an activity that would breach professional obligations</w:t>
      </w:r>
    </w:p>
    <w:p w14:paraId="5EB978DE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Discuss Rules of Professional Conduct and provide examples on its application</w:t>
      </w:r>
    </w:p>
    <w:p w14:paraId="0C5EB478" w14:textId="77777777" w:rsidR="00CE64F1" w:rsidRPr="00CE64F1" w:rsidRDefault="00CE64F1" w:rsidP="00CE64F1">
      <w:pPr>
        <w:pStyle w:val="ListParagraph"/>
        <w:spacing w:line="240" w:lineRule="auto"/>
        <w:ind w:left="1451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40"/>
          <w:szCs w:val="40"/>
        </w:rPr>
        <w:t>□</w:t>
      </w:r>
      <w:r w:rsidRPr="00CE64F1">
        <w:rPr>
          <w:rFonts w:ascii="Cambria" w:hAnsi="Cambria" w:cs="Arial"/>
          <w:sz w:val="26"/>
          <w:szCs w:val="26"/>
        </w:rPr>
        <w:t>Instill in the Trainee an understanding of a lawyer’s role in the Court, in the legal profession and in society at large and the importance to be ethical and professional in all dealings inside and outside the profession.</w:t>
      </w:r>
    </w:p>
    <w:p w14:paraId="283E0E93" w14:textId="23B2563C" w:rsidR="00CE64F1" w:rsidRPr="00CE64F1" w:rsidRDefault="00CE64F1" w:rsidP="00CE64F1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CE64F1">
        <w:rPr>
          <w:rFonts w:ascii="Cambria" w:hAnsi="Cambria" w:cs="Arial"/>
          <w:sz w:val="26"/>
          <w:szCs w:val="26"/>
        </w:rPr>
        <w:lastRenderedPageBreak/>
        <w:t>If, due to the nature of the</w:t>
      </w:r>
      <w:r>
        <w:rPr>
          <w:rFonts w:ascii="Cambria" w:hAnsi="Cambria" w:cs="Arial"/>
          <w:sz w:val="26"/>
          <w:szCs w:val="26"/>
        </w:rPr>
        <w:t xml:space="preserve"> law firm, </w:t>
      </w:r>
      <w:r w:rsidRPr="00CE64F1">
        <w:rPr>
          <w:rFonts w:ascii="Cambria" w:hAnsi="Cambria" w:cs="Arial"/>
          <w:sz w:val="26"/>
          <w:szCs w:val="26"/>
        </w:rPr>
        <w:t xml:space="preserve">legal practice or the legal institution of </w:t>
      </w:r>
      <w:r w:rsidR="00DD620F">
        <w:rPr>
          <w:rFonts w:ascii="Cambria" w:hAnsi="Cambria" w:cs="Arial"/>
          <w:sz w:val="26"/>
          <w:szCs w:val="26"/>
        </w:rPr>
        <w:t>training</w:t>
      </w:r>
      <w:r w:rsidRPr="00CE64F1">
        <w:rPr>
          <w:rFonts w:ascii="Cambria" w:hAnsi="Cambria" w:cs="Arial"/>
          <w:sz w:val="26"/>
          <w:szCs w:val="26"/>
        </w:rPr>
        <w:t xml:space="preserve">, one or more specific practical skill cannot be provided in the regular work of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 xml:space="preserve">upervisor, then the </w:t>
      </w:r>
      <w:r w:rsidR="009E1CE5">
        <w:rPr>
          <w:rFonts w:ascii="Cambria" w:hAnsi="Cambria" w:cs="Arial"/>
          <w:sz w:val="26"/>
          <w:szCs w:val="26"/>
        </w:rPr>
        <w:t>s</w:t>
      </w:r>
      <w:r w:rsidRPr="00CE64F1">
        <w:rPr>
          <w:rFonts w:ascii="Cambria" w:hAnsi="Cambria" w:cs="Arial"/>
          <w:sz w:val="26"/>
          <w:szCs w:val="26"/>
        </w:rPr>
        <w:t xml:space="preserve">upervisor agrees to find alternative ways to ensure that the core skills are completed by the </w:t>
      </w:r>
      <w:r w:rsidR="009E1CE5">
        <w:rPr>
          <w:rFonts w:ascii="Cambria" w:hAnsi="Cambria" w:cs="Arial"/>
          <w:sz w:val="26"/>
          <w:szCs w:val="26"/>
        </w:rPr>
        <w:t>t</w:t>
      </w:r>
      <w:r w:rsidRPr="00CE64F1">
        <w:rPr>
          <w:rFonts w:ascii="Cambria" w:hAnsi="Cambria" w:cs="Arial"/>
          <w:sz w:val="26"/>
          <w:szCs w:val="26"/>
        </w:rPr>
        <w:t xml:space="preserve">rainee, </w:t>
      </w:r>
      <w:r w:rsidRPr="00CE64F1">
        <w:rPr>
          <w:rFonts w:ascii="Cambria" w:hAnsi="Cambria" w:cs="Arial"/>
          <w:sz w:val="26"/>
          <w:szCs w:val="26"/>
          <w:u w:val="single"/>
        </w:rPr>
        <w:t>such as</w:t>
      </w:r>
      <w:r w:rsidRPr="00CE64F1">
        <w:rPr>
          <w:rFonts w:ascii="Cambria" w:hAnsi="Cambria" w:cs="Arial"/>
          <w:sz w:val="26"/>
          <w:szCs w:val="26"/>
        </w:rPr>
        <w:t>: simulations of real court cases; conducting legal research using case studies or research on case law and statutes; workshops modeled to teach due diligence, client care management and  transaction management, mock trials to develop advocacy skills.</w:t>
      </w:r>
    </w:p>
    <w:bookmarkEnd w:id="0"/>
    <w:p w14:paraId="37C334DC" w14:textId="77777777" w:rsidR="00CE64F1" w:rsidRDefault="00CE64F1" w:rsidP="00CE64F1">
      <w:pPr>
        <w:spacing w:line="240" w:lineRule="auto"/>
        <w:rPr>
          <w:rFonts w:ascii="Cambria" w:hAnsi="Cambria"/>
          <w:b/>
          <w:sz w:val="27"/>
          <w:szCs w:val="27"/>
        </w:rPr>
      </w:pPr>
    </w:p>
    <w:p w14:paraId="1034933C" w14:textId="44C73FE8" w:rsidR="009E1CE5" w:rsidRDefault="009E1CE5" w:rsidP="00CE64F1">
      <w:pPr>
        <w:spacing w:line="240" w:lineRule="auto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Name of Supervisor:</w:t>
      </w:r>
    </w:p>
    <w:p w14:paraId="271E9B70" w14:textId="2DF401B3" w:rsidR="009E1CE5" w:rsidRDefault="009E1CE5" w:rsidP="00CE64F1">
      <w:pPr>
        <w:spacing w:line="240" w:lineRule="auto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Date:</w:t>
      </w:r>
      <w:r>
        <w:rPr>
          <w:rFonts w:ascii="Cambria" w:hAnsi="Cambria"/>
          <w:b/>
          <w:sz w:val="27"/>
          <w:szCs w:val="27"/>
        </w:rPr>
        <w:tab/>
      </w:r>
    </w:p>
    <w:p w14:paraId="5049CB2C" w14:textId="1992DD59" w:rsidR="009E1CE5" w:rsidRPr="00CE64F1" w:rsidRDefault="009E1CE5" w:rsidP="00CE64F1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  <w:sz w:val="27"/>
          <w:szCs w:val="27"/>
        </w:rPr>
        <w:t>Signature:</w:t>
      </w:r>
    </w:p>
    <w:sectPr w:rsidR="009E1CE5" w:rsidRPr="00CE64F1" w:rsidSect="00CE64F1">
      <w:footerReference w:type="default" r:id="rId11"/>
      <w:pgSz w:w="12240" w:h="15840"/>
      <w:pgMar w:top="1440" w:right="1440" w:bottom="1440" w:left="1440" w:header="70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2CA6" w14:textId="77777777" w:rsidR="00C42D1D" w:rsidRDefault="00C42D1D" w:rsidP="00CE64F1">
      <w:pPr>
        <w:spacing w:after="0" w:line="240" w:lineRule="auto"/>
      </w:pPr>
      <w:r>
        <w:separator/>
      </w:r>
    </w:p>
  </w:endnote>
  <w:endnote w:type="continuationSeparator" w:id="0">
    <w:p w14:paraId="7CA9A587" w14:textId="77777777" w:rsidR="00C42D1D" w:rsidRDefault="00C42D1D" w:rsidP="00CE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3831284"/>
      <w:docPartObj>
        <w:docPartGallery w:val="Page Numbers (Bottom of Page)"/>
        <w:docPartUnique/>
      </w:docPartObj>
    </w:sdtPr>
    <w:sdtEndPr/>
    <w:sdtContent>
      <w:sdt>
        <w:sdtPr>
          <w:id w:val="-388346788"/>
          <w:docPartObj>
            <w:docPartGallery w:val="Page Numbers (Top of Page)"/>
            <w:docPartUnique/>
          </w:docPartObj>
        </w:sdtPr>
        <w:sdtEndPr/>
        <w:sdtContent>
          <w:p w14:paraId="6A074BB8" w14:textId="77777777" w:rsidR="00CE64F1" w:rsidRDefault="00CE64F1" w:rsidP="00CE64F1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EAD137" wp14:editId="0F68F610">
                  <wp:simplePos x="0" y="0"/>
                  <wp:positionH relativeFrom="column">
                    <wp:posOffset>-845820</wp:posOffset>
                  </wp:positionH>
                  <wp:positionV relativeFrom="paragraph">
                    <wp:posOffset>174007</wp:posOffset>
                  </wp:positionV>
                  <wp:extent cx="7429500" cy="364490"/>
                  <wp:effectExtent l="0" t="0" r="0" b="0"/>
                  <wp:wrapSquare wrapText="bothSides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18" b="484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33B">
              <w:t xml:space="preserve"> </w:t>
            </w:r>
            <w:sdt>
              <w:sdtPr>
                <w:id w:val="-11205253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-960187730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BA5222">
                      <w:rPr>
                        <w:rFonts w:ascii="Cambria" w:hAnsi="Cambria"/>
                      </w:rPr>
                      <w:t xml:space="preserve">Page 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A5222">
                      <w:rPr>
                        <w:rFonts w:ascii="Cambria" w:hAnsi="Cambria"/>
                        <w:b/>
                        <w:bCs/>
                      </w:rPr>
                      <w:instrText xml:space="preserve"> PAGE </w:instrTex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1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 w:rsidRPr="00BA5222">
                      <w:rPr>
                        <w:rFonts w:ascii="Cambria" w:hAnsi="Cambria"/>
                      </w:rPr>
                      <w:t xml:space="preserve"> of 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BA5222">
                      <w:rPr>
                        <w:rFonts w:ascii="Cambria" w:hAnsi="Cambria"/>
                        <w:b/>
                        <w:bCs/>
                      </w:rPr>
                      <w:instrText xml:space="preserve"> NUMPAGES  </w:instrTex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t>4</w:t>
                    </w:r>
                    <w:r w:rsidRPr="00BA5222">
                      <w:rPr>
                        <w:rFonts w:ascii="Cambria" w:hAnsi="Cambri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2F4F2DCE" w14:textId="77777777" w:rsidR="00CE64F1" w:rsidRPr="00CE64F1" w:rsidRDefault="00CE64F1" w:rsidP="00CE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6FAD" w14:textId="77777777" w:rsidR="00C42D1D" w:rsidRDefault="00C42D1D" w:rsidP="00CE64F1">
      <w:pPr>
        <w:spacing w:after="0" w:line="240" w:lineRule="auto"/>
      </w:pPr>
      <w:r>
        <w:separator/>
      </w:r>
    </w:p>
  </w:footnote>
  <w:footnote w:type="continuationSeparator" w:id="0">
    <w:p w14:paraId="2801E639" w14:textId="77777777" w:rsidR="00C42D1D" w:rsidRDefault="00C42D1D" w:rsidP="00CE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5573"/>
    <w:multiLevelType w:val="hybridMultilevel"/>
    <w:tmpl w:val="7D5E13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32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F1"/>
    <w:rsid w:val="00965CA5"/>
    <w:rsid w:val="009E1CE5"/>
    <w:rsid w:val="00C42D1D"/>
    <w:rsid w:val="00CE64F1"/>
    <w:rsid w:val="00D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8EE9"/>
  <w15:chartTrackingRefBased/>
  <w15:docId w15:val="{CF30FD30-5DA1-481E-AFD2-983DACE4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F1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F1"/>
    <w:pPr>
      <w:ind w:left="720"/>
      <w:contextualSpacing/>
    </w:pPr>
  </w:style>
  <w:style w:type="table" w:styleId="TableGrid">
    <w:name w:val="Table Grid"/>
    <w:basedOn w:val="TableNormal"/>
    <w:uiPriority w:val="59"/>
    <w:rsid w:val="00CE64F1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F1"/>
    <w:rPr>
      <w:kern w:val="0"/>
      <w:lang w:val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6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F1"/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c15f7-d3a1-475f-937c-38042d9c679b">
      <Terms xmlns="http://schemas.microsoft.com/office/infopath/2007/PartnerControls"/>
    </lcf76f155ced4ddcb4097134ff3c332f>
    <TaxCatchAll xmlns="6c26ab4c-f5ab-41b8-b782-8a7943c48b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25184EB614FACEFF2DB3955F300" ma:contentTypeVersion="17" ma:contentTypeDescription="Create a new document." ma:contentTypeScope="" ma:versionID="4f10365074f1f7816a7e2dd2b17c4a0e">
  <xsd:schema xmlns:xsd="http://www.w3.org/2001/XMLSchema" xmlns:xs="http://www.w3.org/2001/XMLSchema" xmlns:p="http://schemas.microsoft.com/office/2006/metadata/properties" xmlns:ns2="d6ac15f7-d3a1-475f-937c-38042d9c679b" xmlns:ns3="6c26ab4c-f5ab-41b8-b782-8a7943c48bb6" targetNamespace="http://schemas.microsoft.com/office/2006/metadata/properties" ma:root="true" ma:fieldsID="12701fad80bd1fb7e8be3dda89427d2f" ns2:_="" ns3:_="">
    <xsd:import namespace="d6ac15f7-d3a1-475f-937c-38042d9c679b"/>
    <xsd:import namespace="6c26ab4c-f5ab-41b8-b782-8a7943c48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15f7-d3a1-475f-937c-38042d9c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d9e878-f13f-412d-8dc1-0cb9fd6a5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ab4c-f5ab-41b8-b782-8a7943c48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798c73-081a-4949-adf7-3faa93419d85}" ma:internalName="TaxCatchAll" ma:showField="CatchAllData" ma:web="6c26ab4c-f5ab-41b8-b782-8a7943c48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67C6B-18AC-4EB1-A488-91D07A0A4064}">
  <ds:schemaRefs>
    <ds:schemaRef ds:uri="http://schemas.microsoft.com/office/2006/metadata/properties"/>
    <ds:schemaRef ds:uri="http://schemas.microsoft.com/office/infopath/2007/PartnerControls"/>
    <ds:schemaRef ds:uri="d6ac15f7-d3a1-475f-937c-38042d9c679b"/>
    <ds:schemaRef ds:uri="6c26ab4c-f5ab-41b8-b782-8a7943c48bb6"/>
  </ds:schemaRefs>
</ds:datastoreItem>
</file>

<file path=customXml/itemProps2.xml><?xml version="1.0" encoding="utf-8"?>
<ds:datastoreItem xmlns:ds="http://schemas.openxmlformats.org/officeDocument/2006/customXml" ds:itemID="{D44089C1-28AA-460D-A02A-5F5E124DD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3207C-6A79-4ED0-B824-A05A87B88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15f7-d3a1-475f-937c-38042d9c679b"/>
    <ds:schemaRef ds:uri="6c26ab4c-f5ab-41b8-b782-8a7943c48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Hazija Hussain Ibrahim</dc:creator>
  <cp:keywords/>
  <dc:description/>
  <cp:lastModifiedBy>Yasmeen Shamaal</cp:lastModifiedBy>
  <cp:revision>3</cp:revision>
  <dcterms:created xsi:type="dcterms:W3CDTF">2023-12-31T04:57:00Z</dcterms:created>
  <dcterms:modified xsi:type="dcterms:W3CDTF">2024-03-24T04:11:00Z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0x010100D881225184EB614FACEFF2DB3955F300</vt:lpwstr>
  </property>
  <property fmtid="{D5CDD505-2E9C-101B-9397-08002B2CF9AE}" pid="3" name="MediaServiceImageTags">
    <vt:lpwstr/>
  </property>
</Properties>
</file>